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FE" w:rsidRP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C8E">
        <w:rPr>
          <w:rFonts w:ascii="Arial" w:hAnsi="Arial" w:cs="Arial"/>
          <w:sz w:val="24"/>
          <w:szCs w:val="24"/>
        </w:rPr>
        <w:t>Zagadnienia do egzaminu magisterskiego dla uczestników seminarium magisterskiego prowadzonego w latach 2017-2018 na kierunku: studia eurazjatyckie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C8E">
        <w:rPr>
          <w:rFonts w:ascii="Arial" w:hAnsi="Arial" w:cs="Arial"/>
          <w:sz w:val="24"/>
          <w:szCs w:val="24"/>
        </w:rPr>
        <w:t>Prowadzący: prof. dr hab. Joachim Diec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1.Geograficzne uwarunkowania państw obszaru eurazjatyckiego: położenie, demografia, bogactwa naturalne</w:t>
      </w:r>
      <w:r w:rsidR="00DA7095">
        <w:rPr>
          <w:rFonts w:ascii="Arial" w:hAnsi="Arial" w:cs="Arial"/>
          <w:sz w:val="24"/>
          <w:szCs w:val="24"/>
        </w:rPr>
        <w:t xml:space="preserve"> i geograficzne bariery rozwoju</w:t>
      </w:r>
      <w:r>
        <w:rPr>
          <w:rFonts w:ascii="Arial" w:hAnsi="Arial" w:cs="Arial"/>
          <w:sz w:val="24"/>
          <w:szCs w:val="24"/>
        </w:rPr>
        <w:t>.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2.Najważniejsze uwarunkowania historyczne Rosji, Białorusi i Ukrainy jako oddzielnych podmiotów etniczno-państwowych w Europie Wschodniej: wspólna historia i rozbieżności w rozwoju historycznym.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3.Najważniejsze uwarunkowania historyczne państw Kaukazu Południowego: wspólnota losu, konflikty i rozbieżności.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4.Najważniejsze uwarunkowania historyczne państw Azji Centralnej: </w:t>
      </w:r>
      <w:r w:rsidR="00CE297B">
        <w:rPr>
          <w:rFonts w:ascii="Arial" w:hAnsi="Arial" w:cs="Arial"/>
          <w:sz w:val="24"/>
          <w:szCs w:val="24"/>
        </w:rPr>
        <w:t>substrat etniczny, zmiany na tle religijnym i stosunki z wielkimi sąsiadami</w:t>
      </w:r>
      <w:r>
        <w:rPr>
          <w:rFonts w:ascii="Arial" w:hAnsi="Arial" w:cs="Arial"/>
          <w:sz w:val="24"/>
          <w:szCs w:val="24"/>
        </w:rPr>
        <w:t>.</w:t>
      </w:r>
    </w:p>
    <w:p w:rsidR="00715C8E" w:rsidRDefault="00CE297B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15C8E">
        <w:rPr>
          <w:rFonts w:ascii="Arial" w:hAnsi="Arial" w:cs="Arial"/>
          <w:sz w:val="24"/>
          <w:szCs w:val="24"/>
        </w:rPr>
        <w:t>.Skład etniczny państw obszaru eurazjatyckiego.</w:t>
      </w:r>
    </w:p>
    <w:p w:rsidR="00715C8E" w:rsidRDefault="00775330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6.Makroekonomiczne p</w:t>
      </w:r>
      <w:r w:rsidR="00715C8E">
        <w:rPr>
          <w:rFonts w:ascii="Arial" w:hAnsi="Arial" w:cs="Arial"/>
          <w:sz w:val="24"/>
          <w:szCs w:val="24"/>
        </w:rPr>
        <w:t>roblemy gospodarek państw eurazjatyckich, wzajemne zależności i ich pozycja na tle gospodarki światowej</w:t>
      </w:r>
      <w:r>
        <w:rPr>
          <w:rFonts w:ascii="Arial" w:hAnsi="Arial" w:cs="Arial"/>
          <w:sz w:val="24"/>
          <w:szCs w:val="24"/>
        </w:rPr>
        <w:t>.</w:t>
      </w:r>
    </w:p>
    <w:p w:rsidR="00775330" w:rsidRDefault="00775330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7.Kwestia surowców energetycznych jako ważnego czynnika gospodarki rosyjskiej </w:t>
      </w:r>
      <w:r>
        <w:rPr>
          <w:rFonts w:ascii="Arial" w:hAnsi="Arial" w:cs="Arial"/>
          <w:sz w:val="24"/>
          <w:szCs w:val="24"/>
        </w:rPr>
        <w:br/>
        <w:t>i pozostałych państw obszaru eurazjatyckiego. Ropa naftowa i gaz ziemny jako oręż polityczny.</w:t>
      </w:r>
    </w:p>
    <w:p w:rsidR="007C446E" w:rsidRDefault="007C446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8.Stosunki wzajemne państw Azji Centralnej i stosunki z mocarstwami światowymi. Udział Rosji, Chin oraz Stanów Zjednoczonych w kształtowaniu geopolitycznego statusu regionu.</w:t>
      </w:r>
    </w:p>
    <w:p w:rsidR="007C446E" w:rsidRDefault="007C446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9.Państwa kaukaskie w stosunkach międzynarodowych. Najważniejsze współczesne konflikty na obszarze Kaukazu Północnego i Południowego. Miejsce Rosji na mapie konfliktów w regionie. </w:t>
      </w:r>
    </w:p>
    <w:p w:rsidR="00715C8E" w:rsidRDefault="007C446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15C8E">
        <w:rPr>
          <w:rFonts w:ascii="Arial" w:hAnsi="Arial" w:cs="Arial"/>
          <w:sz w:val="24"/>
          <w:szCs w:val="24"/>
        </w:rPr>
        <w:t xml:space="preserve">.Najważniejsze etapy i formy instytucjonalne </w:t>
      </w:r>
      <w:r>
        <w:rPr>
          <w:rFonts w:ascii="Arial" w:hAnsi="Arial" w:cs="Arial"/>
          <w:sz w:val="24"/>
          <w:szCs w:val="24"/>
        </w:rPr>
        <w:t xml:space="preserve">militarnej i gospodarczej </w:t>
      </w:r>
      <w:r w:rsidR="00715C8E">
        <w:rPr>
          <w:rFonts w:ascii="Arial" w:hAnsi="Arial" w:cs="Arial"/>
          <w:sz w:val="24"/>
          <w:szCs w:val="24"/>
        </w:rPr>
        <w:t>integracji eurazjatyckiej.</w:t>
      </w:r>
    </w:p>
    <w:p w:rsidR="00C2174C" w:rsidRDefault="00C2174C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11.Najważniejsze wyzwania bezpieczeństwa na obszarze eurazjatyckim: aktualne </w:t>
      </w:r>
      <w:r>
        <w:rPr>
          <w:rFonts w:ascii="Arial" w:hAnsi="Arial" w:cs="Arial"/>
          <w:sz w:val="24"/>
          <w:szCs w:val="24"/>
        </w:rPr>
        <w:br/>
        <w:t>i zamrożone konflikty, zagrożenie terrorystyczne.</w:t>
      </w:r>
    </w:p>
    <w:p w:rsidR="00715C8E" w:rsidRDefault="00C2174C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715C8E">
        <w:rPr>
          <w:rFonts w:ascii="Arial" w:hAnsi="Arial" w:cs="Arial"/>
          <w:sz w:val="24"/>
          <w:szCs w:val="24"/>
        </w:rPr>
        <w:t xml:space="preserve">.Systemy </w:t>
      </w:r>
      <w:r>
        <w:rPr>
          <w:rFonts w:ascii="Arial" w:hAnsi="Arial" w:cs="Arial"/>
          <w:sz w:val="24"/>
          <w:szCs w:val="24"/>
        </w:rPr>
        <w:t>polityczne państw obszaru eurazjatyckiego.</w:t>
      </w:r>
    </w:p>
    <w:p w:rsidR="00C2174C" w:rsidRDefault="00DA7095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C2174C">
        <w:rPr>
          <w:rFonts w:ascii="Arial" w:hAnsi="Arial" w:cs="Arial"/>
          <w:sz w:val="24"/>
          <w:szCs w:val="24"/>
        </w:rPr>
        <w:t xml:space="preserve">Osobliwości </w:t>
      </w:r>
      <w:r w:rsidR="004F79B9">
        <w:rPr>
          <w:rFonts w:ascii="Arial" w:hAnsi="Arial" w:cs="Arial"/>
          <w:sz w:val="24"/>
          <w:szCs w:val="24"/>
        </w:rPr>
        <w:t xml:space="preserve">systemów prawnych </w:t>
      </w:r>
      <w:r>
        <w:rPr>
          <w:rFonts w:ascii="Arial" w:hAnsi="Arial" w:cs="Arial"/>
          <w:sz w:val="24"/>
          <w:szCs w:val="24"/>
        </w:rPr>
        <w:t>państw eurazjatyckich w porównaniu do systemów prawnych państw Europy kontynentalnej oraz państw anglosaskich.</w:t>
      </w:r>
    </w:p>
    <w:p w:rsidR="00DA7095" w:rsidRPr="00715C8E" w:rsidRDefault="00DA7095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14.Religie na obszarze eurazjatyckim i społeczno-polityczne konsekwencje ich występowania.</w:t>
      </w:r>
    </w:p>
    <w:sectPr w:rsidR="00DA7095" w:rsidRPr="00715C8E" w:rsidSect="0026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5C8E"/>
    <w:rsid w:val="001C3CDC"/>
    <w:rsid w:val="002609FE"/>
    <w:rsid w:val="00282CEC"/>
    <w:rsid w:val="0036463D"/>
    <w:rsid w:val="004C0267"/>
    <w:rsid w:val="004F79B9"/>
    <w:rsid w:val="00715C8E"/>
    <w:rsid w:val="00775330"/>
    <w:rsid w:val="007C446E"/>
    <w:rsid w:val="00C2174C"/>
    <w:rsid w:val="00CE297B"/>
    <w:rsid w:val="00DA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Michał Kuryłowicz</cp:lastModifiedBy>
  <cp:revision>2</cp:revision>
  <dcterms:created xsi:type="dcterms:W3CDTF">2020-11-01T21:24:00Z</dcterms:created>
  <dcterms:modified xsi:type="dcterms:W3CDTF">2020-11-01T21:24:00Z</dcterms:modified>
</cp:coreProperties>
</file>