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83" w:rsidRPr="008843AF" w:rsidRDefault="00FE2783">
      <w:pPr>
        <w:rPr>
          <w:b/>
          <w:color w:val="FF0000"/>
          <w:sz w:val="28"/>
          <w:szCs w:val="28"/>
        </w:rPr>
      </w:pPr>
      <w:r w:rsidRPr="008843AF">
        <w:rPr>
          <w:b/>
          <w:color w:val="FF0000"/>
          <w:sz w:val="28"/>
          <w:szCs w:val="28"/>
        </w:rPr>
        <w:t>Grupa zajęć obligatoryjnych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0"/>
        <w:gridCol w:w="840"/>
        <w:gridCol w:w="3794"/>
        <w:gridCol w:w="629"/>
        <w:gridCol w:w="1518"/>
        <w:gridCol w:w="596"/>
        <w:gridCol w:w="1212"/>
        <w:gridCol w:w="596"/>
        <w:gridCol w:w="2041"/>
      </w:tblGrid>
      <w:tr w:rsidR="00FE2783" w:rsidRPr="00FE2783" w:rsidTr="008843AF">
        <w:trPr>
          <w:trHeight w:val="2040"/>
        </w:trPr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E2783">
              <w:rPr>
                <w:rFonts w:ascii="Calibri" w:eastAsia="Times New Roman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5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  <w:vAlign w:val="center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lang w:eastAsia="pl-PL"/>
              </w:rPr>
              <w:t>rok studiów</w:t>
            </w:r>
          </w:p>
        </w:tc>
        <w:tc>
          <w:tcPr>
            <w:tcW w:w="8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lang w:eastAsia="pl-PL"/>
              </w:rPr>
              <w:t>semestr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wykładowy przedmiotu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zajęć dydaktycznych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modułu [O/F]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zaliczenia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ECTS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Academic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Metodologia nauk społecznych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Negocjacje w stosunkach międzynarodowych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Współczesne narody i kultury Azji Środkowej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 xml:space="preserve">i 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Współczesne narody i kultury Kaukazu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E2783" w:rsidRPr="00FE2783" w:rsidTr="008843A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Samorząd terytorialny na obszarze eurazjatyckim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Academic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11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Podstawy prawa cywilnego i karnego państw obszaru postradzieckiego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Podstawy prawa gospodarczego i finansowego państw obszaru postradzieckiego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Gospodarka państw obszaru eurazjatyckiego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Prawo autorskie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Język rosyjski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Język rosyjski w biznesie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Współczesne społeczeństwa i kultura krajów wschodnioeuropejskich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Polska w perspektywie polityki rosyjskiej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Warunki i realia prowadzenie biznesu na obszarze postradzieckim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warsztaty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Język rosyjski w biznesie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Język rosyjski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Integracja eurazjatycka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seminarium magisterskie zakończone obroną pracy magisterskiej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855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84</w:t>
            </w:r>
          </w:p>
        </w:tc>
      </w:tr>
    </w:tbl>
    <w:p w:rsidR="00AA1E0B" w:rsidRDefault="00AA1E0B"/>
    <w:p w:rsidR="00FE2783" w:rsidRDefault="00FE2783">
      <w:pPr>
        <w:rPr>
          <w:color w:val="FF0000"/>
        </w:rPr>
      </w:pPr>
    </w:p>
    <w:p w:rsidR="00FE2783" w:rsidRDefault="00FE2783">
      <w:pPr>
        <w:rPr>
          <w:color w:val="FF0000"/>
        </w:rPr>
      </w:pPr>
    </w:p>
    <w:p w:rsidR="00FE2783" w:rsidRDefault="00FE2783">
      <w:pPr>
        <w:rPr>
          <w:color w:val="FF0000"/>
        </w:rPr>
      </w:pPr>
    </w:p>
    <w:p w:rsidR="00FE2783" w:rsidRDefault="00FE2783">
      <w:pPr>
        <w:rPr>
          <w:color w:val="FF0000"/>
        </w:rPr>
      </w:pPr>
    </w:p>
    <w:p w:rsidR="00FE2783" w:rsidRPr="008843AF" w:rsidRDefault="00FE2783">
      <w:pPr>
        <w:rPr>
          <w:color w:val="FF0000"/>
          <w:sz w:val="28"/>
          <w:szCs w:val="28"/>
        </w:rPr>
      </w:pPr>
      <w:r w:rsidRPr="008843AF">
        <w:rPr>
          <w:b/>
          <w:color w:val="FF0000"/>
          <w:sz w:val="28"/>
          <w:szCs w:val="28"/>
        </w:rPr>
        <w:t>Grupa zajęć fakultatywnych</w:t>
      </w:r>
      <w:r w:rsidR="008843AF" w:rsidRPr="008843AF">
        <w:rPr>
          <w:color w:val="FF0000"/>
          <w:sz w:val="28"/>
          <w:szCs w:val="28"/>
        </w:rPr>
        <w:t xml:space="preserve"> </w:t>
      </w:r>
      <w:r w:rsidR="008843AF" w:rsidRPr="008843AF">
        <w:rPr>
          <w:color w:val="FF0000"/>
          <w:sz w:val="28"/>
          <w:szCs w:val="28"/>
        </w:rPr>
        <w:t>(do wyboru w ciągu całego toku studiów spośród poniższych przedmiotów)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0"/>
        <w:gridCol w:w="840"/>
        <w:gridCol w:w="4003"/>
        <w:gridCol w:w="865"/>
        <w:gridCol w:w="1518"/>
        <w:gridCol w:w="596"/>
        <w:gridCol w:w="1149"/>
        <w:gridCol w:w="596"/>
        <w:gridCol w:w="1659"/>
      </w:tblGrid>
      <w:tr w:rsidR="00FE2783" w:rsidRPr="00FE2783" w:rsidTr="008843AF">
        <w:trPr>
          <w:trHeight w:val="2040"/>
        </w:trPr>
        <w:tc>
          <w:tcPr>
            <w:tcW w:w="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E2783">
              <w:rPr>
                <w:rFonts w:ascii="Calibri" w:eastAsia="Times New Roman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5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  <w:vAlign w:val="center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lang w:eastAsia="pl-PL"/>
              </w:rPr>
              <w:t>rok studiów</w:t>
            </w:r>
          </w:p>
        </w:tc>
        <w:tc>
          <w:tcPr>
            <w:tcW w:w="8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lang w:eastAsia="pl-PL"/>
              </w:rPr>
              <w:t>semestr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wykładowy przedmiotu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zajęć dydaktycznych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modułu [O/F]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zaliczenia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ECTS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III fala demokratyzacji w Europie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Srodkowej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Międzyanrodowe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organizacje pozarządowe na obszarze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państ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postradzieckich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Nieposłuszeństwo obywatelskie w państwach obszaru eurazjatyckiego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Uwarunkowania organizacyjno-prawne pozarządowego sektora niekomercyjnego we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wspólczesnej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Rosji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Reportaż i korespondencja z państw obszaru eurazjatyckiego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6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Wybrane aspekty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etnopolityki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 rzeczywistości postradzieckiej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Społeczna doktryna kościoła prawosławnego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8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бсуждение вопроса восприятия русских чужими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9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Bezpieczeństwo ekonomiczne państw Kaukazu Południowego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10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Bezpieczeństwo państw Azji Centralnej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Rosyjski militaryzm w ujęciu symbolicznym i strategicznym.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12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Rosyjska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intetligencja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wobec państwa; epoka Władimira Putina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</w:t>
            </w:r>
            <w:bookmarkStart w:id="0" w:name="_GoBack"/>
            <w:bookmarkEnd w:id="0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Historia pod presją polityki. Polityka pamięci historycznej na Białorusi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Historia polityczna i gospodarcza Białorusi w XX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Historia polityczna i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gospodarczawspółczesnej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Białorusi od (1991 roku)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Civilizations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Their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Temporal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Dynamics and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Confrontation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Socialism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Its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Ideas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Nationalism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Its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Internal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and International </w:t>
            </w: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Dimension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lastRenderedPageBreak/>
              <w:t>19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Eurazjatyzm</w:t>
            </w:r>
            <w:proofErr w:type="spellEnd"/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 teorii i praktyce politycznej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color w:val="3F3F76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 II</w:t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E27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Doktryna polityki zagranicznej Rosji i jej zastosowanie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zaliczenie na ocenę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Pr="008843AF" w:rsidRDefault="00FE2783" w:rsidP="00FE2783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43A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2783" w:rsidRPr="00FE2783" w:rsidTr="008843A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783" w:rsidRPr="00FE2783" w:rsidRDefault="00FE2783" w:rsidP="00FE2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783" w:rsidRDefault="00FE2783" w:rsidP="00FE27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492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83" w:rsidRDefault="00FE2783" w:rsidP="00FE2783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  <w:r>
              <w:rPr>
                <w:rFonts w:ascii="Calibri" w:hAnsi="Calibri" w:cs="Calibri"/>
                <w:b/>
                <w:bCs/>
                <w:color w:val="FA7D00"/>
              </w:rPr>
              <w:t>60</w:t>
            </w:r>
          </w:p>
        </w:tc>
      </w:tr>
    </w:tbl>
    <w:p w:rsidR="00FE2783" w:rsidRDefault="00FE2783"/>
    <w:sectPr w:rsidR="00FE2783" w:rsidSect="00FE278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16" w:rsidRDefault="004D6516" w:rsidP="00FE2783">
      <w:pPr>
        <w:spacing w:after="0" w:line="240" w:lineRule="auto"/>
      </w:pPr>
      <w:r>
        <w:separator/>
      </w:r>
    </w:p>
  </w:endnote>
  <w:endnote w:type="continuationSeparator" w:id="0">
    <w:p w:rsidR="004D6516" w:rsidRDefault="004D6516" w:rsidP="00FE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419757"/>
      <w:docPartObj>
        <w:docPartGallery w:val="Page Numbers (Bottom of Page)"/>
        <w:docPartUnique/>
      </w:docPartObj>
    </w:sdtPr>
    <w:sdtEndPr/>
    <w:sdtContent>
      <w:p w:rsidR="00FE2783" w:rsidRDefault="00FE27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AF">
          <w:rPr>
            <w:noProof/>
          </w:rPr>
          <w:t>2</w:t>
        </w:r>
        <w:r>
          <w:fldChar w:fldCharType="end"/>
        </w:r>
      </w:p>
    </w:sdtContent>
  </w:sdt>
  <w:p w:rsidR="00FE2783" w:rsidRDefault="00FE2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16" w:rsidRDefault="004D6516" w:rsidP="00FE2783">
      <w:pPr>
        <w:spacing w:after="0" w:line="240" w:lineRule="auto"/>
      </w:pPr>
      <w:r>
        <w:separator/>
      </w:r>
    </w:p>
  </w:footnote>
  <w:footnote w:type="continuationSeparator" w:id="0">
    <w:p w:rsidR="004D6516" w:rsidRDefault="004D6516" w:rsidP="00FE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3"/>
    <w:rsid w:val="004D6516"/>
    <w:rsid w:val="008843AF"/>
    <w:rsid w:val="00AA1E0B"/>
    <w:rsid w:val="00CA11BA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F719"/>
  <w15:chartTrackingRefBased/>
  <w15:docId w15:val="{BA7AB5F9-8802-43A8-A179-E4EA644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83"/>
  </w:style>
  <w:style w:type="paragraph" w:styleId="Stopka">
    <w:name w:val="footer"/>
    <w:basedOn w:val="Normalny"/>
    <w:link w:val="StopkaZnak"/>
    <w:uiPriority w:val="99"/>
    <w:unhideWhenUsed/>
    <w:rsid w:val="00FE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2019-03-19T09:31:00Z</dcterms:created>
  <dcterms:modified xsi:type="dcterms:W3CDTF">2019-03-21T09:27:00Z</dcterms:modified>
</cp:coreProperties>
</file>